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647" w:rsidRDefault="00706647" w:rsidP="005E0903"/>
    <w:p w:rsidR="000F743A" w:rsidRDefault="000F743A" w:rsidP="00CF417D">
      <w:pPr>
        <w:jc w:val="both"/>
      </w:pPr>
    </w:p>
    <w:p w:rsidR="0067561B" w:rsidRPr="008C198A" w:rsidRDefault="005379F0" w:rsidP="008C198A">
      <w:pPr>
        <w:rPr>
          <w:sz w:val="20"/>
        </w:rPr>
      </w:pPr>
      <w:r w:rsidRPr="007F3BFA">
        <w:rPr>
          <w:b/>
        </w:rPr>
        <w:t>HAZCHEM Codes:</w:t>
      </w:r>
      <w:r w:rsidR="008C198A">
        <w:t xml:space="preserve"> </w:t>
      </w:r>
      <w:r w:rsidR="00517801">
        <w:t xml:space="preserve">a </w:t>
      </w:r>
      <w:r w:rsidR="008C198A">
        <w:t xml:space="preserve">little bit of </w:t>
      </w:r>
      <w:r w:rsidR="00517801">
        <w:t>h</w:t>
      </w:r>
      <w:r w:rsidR="008C198A">
        <w:t>istory</w:t>
      </w:r>
      <w:r w:rsidR="00517801">
        <w:t xml:space="preserve"> with thanks to Peter Cope Senior Scientific Adviser to the London Fire Brigade and Bureau Veritas</w:t>
      </w:r>
    </w:p>
    <w:p w:rsidR="0067561B" w:rsidRDefault="0067561B" w:rsidP="00312EFD">
      <w:pPr>
        <w:jc w:val="both"/>
      </w:pPr>
    </w:p>
    <w:p w:rsidR="008C198A" w:rsidRDefault="008C198A" w:rsidP="00312EFD">
      <w:pPr>
        <w:jc w:val="both"/>
      </w:pPr>
      <w:r>
        <w:t>Still referred to as HAZCHEM Codes in New Zealand they have for many years been called Emergency Action Codes in their country of origin - the UK.</w:t>
      </w:r>
    </w:p>
    <w:p w:rsidR="008C198A" w:rsidRDefault="008C198A" w:rsidP="00312EFD">
      <w:pPr>
        <w:jc w:val="both"/>
      </w:pPr>
    </w:p>
    <w:p w:rsidR="008C198A" w:rsidRDefault="008C198A" w:rsidP="00312EFD">
      <w:pPr>
        <w:jc w:val="both"/>
      </w:pPr>
      <w:r>
        <w:t>Originally developed by three members of the London Fire Brigade and championed by their Divisional Officer in the early 70's</w:t>
      </w:r>
      <w:r w:rsidR="007F3BFA">
        <w:t xml:space="preserve">. D.O. </w:t>
      </w:r>
      <w:proofErr w:type="spellStart"/>
      <w:r w:rsidR="007F3BFA">
        <w:t>Clisby</w:t>
      </w:r>
      <w:proofErr w:type="spellEnd"/>
      <w:r w:rsidR="007F3BFA">
        <w:t xml:space="preserve"> pushed the Home Office to adopt the system as a nationwide means of marking bulk loads of hazardous chemicals for transportation</w:t>
      </w:r>
      <w:r w:rsidR="00B71290">
        <w:t xml:space="preserve"> in 1975</w:t>
      </w:r>
      <w:r w:rsidR="007F3BFA">
        <w:t>.</w:t>
      </w:r>
    </w:p>
    <w:p w:rsidR="007F3BFA" w:rsidRDefault="007F3BFA" w:rsidP="00312EFD">
      <w:pPr>
        <w:jc w:val="both"/>
      </w:pPr>
    </w:p>
    <w:p w:rsidR="000521DD" w:rsidRDefault="007F3BFA" w:rsidP="00312EFD">
      <w:pPr>
        <w:jc w:val="both"/>
      </w:pPr>
      <w:r>
        <w:t>The system faced competition from the European ADR Kemmler code</w:t>
      </w:r>
      <w:r w:rsidR="000521DD">
        <w:t>,</w:t>
      </w:r>
      <w:r>
        <w:t xml:space="preserve"> based system and </w:t>
      </w:r>
      <w:r w:rsidR="00B71290">
        <w:t xml:space="preserve">requirements to include ever more detailed information - UN Numbers, Hazard Class, Tremcard number and proper shipping names. Most of these are very familiar in this country now as well. </w:t>
      </w:r>
    </w:p>
    <w:p w:rsidR="000521DD" w:rsidRDefault="000521DD" w:rsidP="00312EFD">
      <w:pPr>
        <w:jc w:val="both"/>
      </w:pPr>
    </w:p>
    <w:p w:rsidR="007F3BFA" w:rsidRDefault="003077E7" w:rsidP="00312EFD">
      <w:pPr>
        <w:jc w:val="both"/>
      </w:pPr>
      <w:r>
        <w:t>HAZCHEM Codes</w:t>
      </w:r>
      <w:r w:rsidR="000521DD">
        <w:t xml:space="preserve"> themselves</w:t>
      </w:r>
      <w:r>
        <w:t xml:space="preserve"> largely stand apart from the legally required signage under our </w:t>
      </w:r>
      <w:r w:rsidR="000521DD">
        <w:t>Health and Safety at Work (Hazardous Substances) Regulations 2017</w:t>
      </w:r>
      <w:r>
        <w:t xml:space="preserve"> and Land Transport legislation</w:t>
      </w:r>
      <w:r w:rsidR="000521DD">
        <w:t>, though the word HAZCHEM (but not the Code) is now required by Regulation 2.6 as a general duty signage requirement</w:t>
      </w:r>
      <w:r>
        <w:t>.</w:t>
      </w:r>
      <w:r w:rsidR="007F3BFA">
        <w:t xml:space="preserve"> </w:t>
      </w:r>
    </w:p>
    <w:p w:rsidR="007F3BFA" w:rsidRDefault="007F3BFA" w:rsidP="00312EFD">
      <w:pPr>
        <w:jc w:val="both"/>
      </w:pPr>
    </w:p>
    <w:p w:rsidR="007F3BFA" w:rsidRDefault="007F3BFA" w:rsidP="00312EFD">
      <w:pPr>
        <w:jc w:val="both"/>
      </w:pPr>
      <w:r>
        <w:t xml:space="preserve">The </w:t>
      </w:r>
      <w:r w:rsidR="00B71290">
        <w:t xml:space="preserve">original </w:t>
      </w:r>
      <w:r>
        <w:t xml:space="preserve">concept is </w:t>
      </w:r>
      <w:r w:rsidR="00B71290">
        <w:t xml:space="preserve">and remains </w:t>
      </w:r>
      <w:r>
        <w:t>remarkably simple and effective providing an immediate emergency response statement to enable the risk from the hazardous substance to be managed</w:t>
      </w:r>
      <w:r w:rsidR="003077E7">
        <w:t xml:space="preserve"> at least in the first instance</w:t>
      </w:r>
      <w:r>
        <w:t>.</w:t>
      </w:r>
    </w:p>
    <w:p w:rsidR="00517801" w:rsidRDefault="00517801" w:rsidP="00312EFD">
      <w:pPr>
        <w:jc w:val="both"/>
      </w:pPr>
    </w:p>
    <w:p w:rsidR="00517801" w:rsidRDefault="00517801" w:rsidP="00312EFD">
      <w:pPr>
        <w:jc w:val="both"/>
      </w:pPr>
      <w:r>
        <w:t>And some personal thoughts from my experience:</w:t>
      </w:r>
    </w:p>
    <w:p w:rsidR="00CD7CD5" w:rsidRDefault="00CD7CD5" w:rsidP="00312EFD">
      <w:pPr>
        <w:jc w:val="both"/>
      </w:pPr>
    </w:p>
    <w:p w:rsidR="00CD7CD5" w:rsidRDefault="00CD7CD5" w:rsidP="00312EFD">
      <w:pPr>
        <w:jc w:val="both"/>
      </w:pPr>
      <w:r>
        <w:t xml:space="preserve">I would add here that while matrices exist to Code for multiple hazards, the system is most effective </w:t>
      </w:r>
      <w:r w:rsidR="00E42308">
        <w:t xml:space="preserve">when there is a </w:t>
      </w:r>
      <w:r>
        <w:t>unique Code per substance. That may, and in my opinion should result in multiple Codes for multiple facilities even on the same premises.</w:t>
      </w:r>
    </w:p>
    <w:p w:rsidR="00B71290" w:rsidRDefault="00B71290" w:rsidP="00312EFD">
      <w:pPr>
        <w:jc w:val="both"/>
      </w:pPr>
    </w:p>
    <w:p w:rsidR="00B71290" w:rsidRDefault="00B71290" w:rsidP="00312EFD">
      <w:pPr>
        <w:jc w:val="both"/>
      </w:pPr>
      <w:r>
        <w:t>Usage in New Zealand has</w:t>
      </w:r>
      <w:r w:rsidR="003077E7">
        <w:t xml:space="preserve"> essentially</w:t>
      </w:r>
      <w:r>
        <w:t xml:space="preserve"> remained true to this original "rather neat risk assessment" and its intended use even while the UK and others, especially the European Union have moved on</w:t>
      </w:r>
      <w:r w:rsidR="003077E7">
        <w:t xml:space="preserve">, </w:t>
      </w:r>
      <w:r w:rsidR="000521DD">
        <w:t xml:space="preserve">that is, </w:t>
      </w:r>
      <w:r w:rsidR="003077E7">
        <w:t>I believe</w:t>
      </w:r>
      <w:r>
        <w:t xml:space="preserve"> to the detriment of</w:t>
      </w:r>
      <w:r w:rsidR="00E42308">
        <w:t xml:space="preserve"> that</w:t>
      </w:r>
      <w:r>
        <w:t xml:space="preserve"> simplicity.</w:t>
      </w:r>
    </w:p>
    <w:p w:rsidR="003077E7" w:rsidRDefault="003077E7" w:rsidP="00312EFD">
      <w:pPr>
        <w:jc w:val="both"/>
      </w:pPr>
    </w:p>
    <w:p w:rsidR="003077E7" w:rsidRDefault="003077E7" w:rsidP="00312EFD">
      <w:pPr>
        <w:jc w:val="both"/>
      </w:pPr>
      <w:r>
        <w:t>Can they be improved? It really is rather difficult to see how they could be</w:t>
      </w:r>
      <w:r w:rsidR="00E42308">
        <w:t xml:space="preserve"> in concept at least</w:t>
      </w:r>
      <w:r>
        <w:t>. There are a few anomalies that probably should be addressed; to explain using some examples:</w:t>
      </w:r>
    </w:p>
    <w:p w:rsidR="003077E7" w:rsidRDefault="003077E7" w:rsidP="00312EFD">
      <w:pPr>
        <w:jc w:val="both"/>
      </w:pPr>
    </w:p>
    <w:p w:rsidR="00517801" w:rsidRDefault="00517801">
      <w:r>
        <w:br w:type="page"/>
      </w:r>
    </w:p>
    <w:p w:rsidR="003077E7" w:rsidRDefault="003077E7" w:rsidP="00312EFD">
      <w:pPr>
        <w:jc w:val="both"/>
      </w:pPr>
      <w:r>
        <w:lastRenderedPageBreak/>
        <w:t xml:space="preserve">The Code for petrol is 3YE. As you will see from the </w:t>
      </w:r>
      <w:r w:rsidR="00E42308">
        <w:t>example</w:t>
      </w:r>
      <w:r>
        <w:t xml:space="preserve">, the fire would be fought with foam indicated by the 3, the 'Y' is accompanied by a 'Z' meaning the reaction could be violent, the </w:t>
      </w:r>
      <w:r w:rsidR="000521DD">
        <w:t>FENZ</w:t>
      </w:r>
      <w:r>
        <w:t xml:space="preserve"> crew protection is normal </w:t>
      </w:r>
      <w:r w:rsidR="000521DD">
        <w:t>firefighting</w:t>
      </w:r>
      <w:r>
        <w:t xml:space="preserve"> kit, there is a requirement to contain any fuel spillage / fire water / foam, and there is a need to consider evacuation denoted by the 'E'.</w:t>
      </w:r>
      <w:r w:rsidR="009D66A8">
        <w:t xml:space="preserve"> Nothing much wrong with that.</w:t>
      </w:r>
    </w:p>
    <w:p w:rsidR="009D66A8" w:rsidRDefault="009D66A8" w:rsidP="00312EFD">
      <w:pPr>
        <w:jc w:val="both"/>
      </w:pPr>
    </w:p>
    <w:p w:rsidR="009D66A8" w:rsidRDefault="009D66A8" w:rsidP="00312EFD">
      <w:pPr>
        <w:jc w:val="both"/>
      </w:pPr>
      <w:r>
        <w:t xml:space="preserve">But, do we really want to fight such a fire or is the environment better served by allowing the fire to burn efficiently? </w:t>
      </w:r>
    </w:p>
    <w:p w:rsidR="009D66A8" w:rsidRDefault="009D66A8" w:rsidP="00312EFD">
      <w:pPr>
        <w:jc w:val="both"/>
      </w:pPr>
    </w:p>
    <w:p w:rsidR="009D66A8" w:rsidRDefault="009D66A8" w:rsidP="00312EFD">
      <w:pPr>
        <w:jc w:val="both"/>
      </w:pPr>
      <w:r>
        <w:t xml:space="preserve">Take a dangerous goods store with multiple flammable hazardous substances, again </w:t>
      </w:r>
      <w:r w:rsidR="00E42308">
        <w:t xml:space="preserve">all </w:t>
      </w:r>
      <w:r>
        <w:t>3YE, none of the solvents or fuels incompatible but in combination if solubilised by foam, the volume increased by the water used</w:t>
      </w:r>
      <w:r w:rsidR="00312E4F">
        <w:t>,</w:t>
      </w:r>
      <w:r>
        <w:t xml:space="preserve"> and the combustion reduced in efficiency to the point of evolving significant quantities of toxic </w:t>
      </w:r>
      <w:r w:rsidR="000521DD">
        <w:t xml:space="preserve">high particulate </w:t>
      </w:r>
      <w:r>
        <w:t>smoke, an argument could be made to let it burn</w:t>
      </w:r>
      <w:r w:rsidR="00E42308">
        <w:t>. And it should be encouraged to burn</w:t>
      </w:r>
      <w:r>
        <w:t xml:space="preserve"> as hot as possible </w:t>
      </w:r>
      <w:r w:rsidR="00312E4F">
        <w:t xml:space="preserve">to take the combustion products back as close as possible to elemental chemistry </w:t>
      </w:r>
      <w:r>
        <w:t>while protecting the exposures (other buildings or property)</w:t>
      </w:r>
      <w:r w:rsidR="00E42308">
        <w:t xml:space="preserve"> with water spray</w:t>
      </w:r>
      <w:r>
        <w:t xml:space="preserve">. </w:t>
      </w:r>
    </w:p>
    <w:p w:rsidR="00312E4F" w:rsidRDefault="00312E4F" w:rsidP="00312EFD">
      <w:pPr>
        <w:jc w:val="both"/>
      </w:pPr>
    </w:p>
    <w:p w:rsidR="00E42308" w:rsidRPr="00E42308" w:rsidRDefault="00E42308" w:rsidP="00312EFD">
      <w:pPr>
        <w:jc w:val="both"/>
        <w:rPr>
          <w:b/>
        </w:rPr>
      </w:pPr>
      <w:r w:rsidRPr="00E42308">
        <w:rPr>
          <w:b/>
        </w:rPr>
        <w:t>So maybe:</w:t>
      </w:r>
    </w:p>
    <w:p w:rsidR="00E42308" w:rsidRDefault="00E42308" w:rsidP="00312EFD">
      <w:pPr>
        <w:jc w:val="both"/>
      </w:pPr>
    </w:p>
    <w:p w:rsidR="00312E4F" w:rsidRDefault="00312E4F" w:rsidP="00312EFD">
      <w:pPr>
        <w:jc w:val="both"/>
      </w:pPr>
      <w:r>
        <w:t xml:space="preserve">The 'E' could be redesignated to 'Consider the Environment.' Like </w:t>
      </w:r>
      <w:r w:rsidR="000521DD">
        <w:t>the EPA requirement</w:t>
      </w:r>
      <w:r>
        <w:t xml:space="preserve"> this would be the environment in its widest sense - people, the natural environment, and the built environment. It would still mean evacuation of people if that was called for, but the consideration would also involve a decision on potential environmental effects</w:t>
      </w:r>
      <w:r w:rsidR="00E42308">
        <w:t xml:space="preserve"> and maybe a decision not to fight the fire as a result</w:t>
      </w:r>
      <w:r>
        <w:t>.</w:t>
      </w:r>
    </w:p>
    <w:p w:rsidR="00312E4F" w:rsidRDefault="00312E4F" w:rsidP="00312EFD">
      <w:pPr>
        <w:jc w:val="both"/>
      </w:pPr>
    </w:p>
    <w:p w:rsidR="00E42308" w:rsidRDefault="00E42308" w:rsidP="00312EFD">
      <w:pPr>
        <w:jc w:val="both"/>
      </w:pPr>
      <w:r>
        <w:t>Another and perhaps more pertinent example:</w:t>
      </w:r>
    </w:p>
    <w:p w:rsidR="00E42308" w:rsidRDefault="00E42308" w:rsidP="00312EFD">
      <w:pPr>
        <w:jc w:val="both"/>
      </w:pPr>
    </w:p>
    <w:p w:rsidR="00E42308" w:rsidRDefault="00312E4F" w:rsidP="00312EFD">
      <w:pPr>
        <w:jc w:val="both"/>
      </w:pPr>
      <w:r>
        <w:t xml:space="preserve">The HAZCHEM Code for concentrated sulphuric acid is 2P - fine water spray, violent reaction, full protective suits and </w:t>
      </w:r>
      <w:r w:rsidR="00A227D9">
        <w:t xml:space="preserve">dilute - really? All Code </w:t>
      </w:r>
      <w:proofErr w:type="gramStart"/>
      <w:r w:rsidR="00A227D9">
        <w:t>letters</w:t>
      </w:r>
      <w:proofErr w:type="gramEnd"/>
      <w:r w:rsidR="00A227D9">
        <w:t xml:space="preserve"> P to T involve the emergency action to dilute. In today's environment you would not even apply that action to milk. There are very few miscible liquid hazardous substance</w:t>
      </w:r>
      <w:r w:rsidR="00E42308">
        <w:t>s</w:t>
      </w:r>
      <w:r w:rsidR="00A227D9">
        <w:t xml:space="preserve"> that you would want to discharge to the environment with dilution </w:t>
      </w:r>
      <w:r w:rsidR="00517801">
        <w:t xml:space="preserve">as </w:t>
      </w:r>
      <w:r w:rsidR="00A227D9">
        <w:t xml:space="preserve">the only action. The </w:t>
      </w:r>
      <w:r w:rsidR="00567E64">
        <w:t>EPA Hazardous Substances Disposal Notice 2017</w:t>
      </w:r>
      <w:r w:rsidR="00A227D9">
        <w:t xml:space="preserve"> do</w:t>
      </w:r>
      <w:r w:rsidR="00567E64">
        <w:t>es</w:t>
      </w:r>
      <w:r w:rsidR="00A227D9">
        <w:t xml:space="preserve"> not recognise dilution as a suitable disposal method. Why should emergency action be any different? </w:t>
      </w:r>
    </w:p>
    <w:p w:rsidR="00E42308" w:rsidRDefault="00E42308" w:rsidP="00312EFD">
      <w:pPr>
        <w:jc w:val="both"/>
      </w:pPr>
    </w:p>
    <w:p w:rsidR="00E42308" w:rsidRPr="00E42308" w:rsidRDefault="00E42308" w:rsidP="00312EFD">
      <w:pPr>
        <w:jc w:val="both"/>
        <w:rPr>
          <w:b/>
        </w:rPr>
      </w:pPr>
      <w:r w:rsidRPr="00E42308">
        <w:rPr>
          <w:b/>
        </w:rPr>
        <w:t xml:space="preserve">So maybe: </w:t>
      </w:r>
    </w:p>
    <w:p w:rsidR="00E42308" w:rsidRDefault="00E42308" w:rsidP="00312EFD">
      <w:pPr>
        <w:jc w:val="both"/>
      </w:pPr>
    </w:p>
    <w:p w:rsidR="00A227D9" w:rsidRDefault="00A227D9" w:rsidP="00312EFD">
      <w:pPr>
        <w:jc w:val="both"/>
      </w:pPr>
      <w:r>
        <w:t xml:space="preserve">Containment is the control method for Code </w:t>
      </w:r>
      <w:proofErr w:type="gramStart"/>
      <w:r>
        <w:t>letters</w:t>
      </w:r>
      <w:proofErr w:type="gramEnd"/>
      <w:r>
        <w:t xml:space="preserve"> W to Z, </w:t>
      </w:r>
      <w:r w:rsidR="00567E64">
        <w:t xml:space="preserve">so </w:t>
      </w:r>
      <w:r>
        <w:t xml:space="preserve">that control should </w:t>
      </w:r>
      <w:r w:rsidR="00E42308">
        <w:t xml:space="preserve">really </w:t>
      </w:r>
      <w:r>
        <w:t>apply to all action codes</w:t>
      </w:r>
      <w:r w:rsidR="00517801">
        <w:t xml:space="preserve"> from P to Z</w:t>
      </w:r>
      <w:r>
        <w:t>.</w:t>
      </w:r>
    </w:p>
    <w:p w:rsidR="00A227D9" w:rsidRDefault="00A227D9" w:rsidP="00312EFD">
      <w:pPr>
        <w:jc w:val="both"/>
      </w:pPr>
    </w:p>
    <w:p w:rsidR="00312E4F" w:rsidRDefault="00A227D9" w:rsidP="00312EFD">
      <w:pPr>
        <w:jc w:val="both"/>
      </w:pPr>
      <w:r>
        <w:t>Why you might ask does the Code start at P (</w:t>
      </w:r>
      <w:proofErr w:type="gramStart"/>
      <w:r>
        <w:t xml:space="preserve">with the </w:t>
      </w:r>
      <w:r w:rsidR="00517801">
        <w:t>exception of</w:t>
      </w:r>
      <w:proofErr w:type="gramEnd"/>
      <w:r w:rsidR="00517801">
        <w:t xml:space="preserve"> E) - </w:t>
      </w:r>
      <w:r>
        <w:t xml:space="preserve">that </w:t>
      </w:r>
      <w:r w:rsidR="00517801">
        <w:t xml:space="preserve">again </w:t>
      </w:r>
      <w:r>
        <w:t>originated in London where the Fire Districts radio call signs of that city ran from A to L</w:t>
      </w:r>
      <w:r w:rsidR="00517801">
        <w:t xml:space="preserve"> and there was a desire to avoid confusion.</w:t>
      </w:r>
    </w:p>
    <w:p w:rsidR="003077E7" w:rsidRDefault="003077E7" w:rsidP="00312EFD">
      <w:pPr>
        <w:jc w:val="both"/>
      </w:pPr>
    </w:p>
    <w:p w:rsidR="00517801" w:rsidRDefault="00517801">
      <w:r>
        <w:br w:type="page"/>
      </w:r>
    </w:p>
    <w:p w:rsidR="00567E64" w:rsidRDefault="00A227D9" w:rsidP="00312EFD">
      <w:pPr>
        <w:jc w:val="both"/>
      </w:pPr>
      <w:r>
        <w:lastRenderedPageBreak/>
        <w:t xml:space="preserve">HAZCHEM Codes in New Zealand are backed up by the </w:t>
      </w:r>
      <w:r w:rsidR="00567E64">
        <w:t>Health and Safety at Work (Hazardous Substances) Regulations 2017</w:t>
      </w:r>
      <w:r w:rsidR="00567E64">
        <w:t>: Part 2 – Signage: Regulations 2.5 – 2.10. This includes but is not limited to the word HAZCHEM for classes 2,3,4,5,6 or 8 substances, a hazard pictogram (Diamond); or a hazard statement, and the precautions to be taken and describing the immediate actions in the event of emergency.</w:t>
      </w:r>
    </w:p>
    <w:p w:rsidR="00567E64" w:rsidRDefault="00567E64" w:rsidP="00312EFD">
      <w:pPr>
        <w:jc w:val="both"/>
      </w:pPr>
    </w:p>
    <w:p w:rsidR="003077E7" w:rsidRDefault="00567E64" w:rsidP="00312EFD">
      <w:pPr>
        <w:jc w:val="both"/>
      </w:pPr>
      <w:r>
        <w:t>The latter</w:t>
      </w:r>
      <w:r w:rsidR="00CD7CD5">
        <w:t xml:space="preserve"> commonly requires 111 - Fire, Ambulance, Police, a </w:t>
      </w:r>
      <w:proofErr w:type="gramStart"/>
      <w:r w:rsidR="00CD7CD5">
        <w:t>24 hour</w:t>
      </w:r>
      <w:proofErr w:type="gramEnd"/>
      <w:r w:rsidR="00CD7CD5">
        <w:t xml:space="preserve"> company contact number which may be a security company, an information number for the substance; 0800POISONS, 0800CHEMCALL</w:t>
      </w:r>
      <w:r w:rsidR="00E42308">
        <w:t xml:space="preserve"> typically</w:t>
      </w:r>
      <w:r w:rsidR="00CD7CD5">
        <w:t xml:space="preserve">, or a NZ </w:t>
      </w:r>
      <w:r w:rsidR="00E42308">
        <w:t xml:space="preserve">Chemical </w:t>
      </w:r>
      <w:r w:rsidR="00CD7CD5">
        <w:t>Supplier plus often the appropriate Regional Council Pollution Control Hotline</w:t>
      </w:r>
      <w:r>
        <w:t xml:space="preserve"> for EPA compliance</w:t>
      </w:r>
      <w:r w:rsidR="00CD7CD5">
        <w:t>.</w:t>
      </w:r>
      <w:bookmarkStart w:id="0" w:name="_GoBack"/>
      <w:bookmarkEnd w:id="0"/>
    </w:p>
    <w:p w:rsidR="00CD7CD5" w:rsidRDefault="00CD7CD5" w:rsidP="00312EFD">
      <w:pPr>
        <w:jc w:val="both"/>
      </w:pPr>
    </w:p>
    <w:p w:rsidR="00CD7CD5" w:rsidRDefault="00CD7CD5" w:rsidP="00312EFD">
      <w:pPr>
        <w:jc w:val="both"/>
      </w:pPr>
      <w:r>
        <w:t>All good stuff, but for a first arriving fire officer faced with a HAZCHEM Code of 3Z, the immediate response is very clear, and speed is what saves your company premises, limits your insurance claim, protects the wider environment and that includes jobs.</w:t>
      </w:r>
      <w:r w:rsidR="00E42308">
        <w:t xml:space="preserve"> 3Z by the way covers Diesel.</w:t>
      </w:r>
    </w:p>
    <w:p w:rsidR="004E6D93" w:rsidRDefault="004E6D93" w:rsidP="00312EFD">
      <w:pPr>
        <w:jc w:val="both"/>
      </w:pPr>
    </w:p>
    <w:p w:rsidR="004E6D93" w:rsidRDefault="004E6D93" w:rsidP="00312EFD">
      <w:pPr>
        <w:jc w:val="both"/>
      </w:pPr>
      <w:r w:rsidRPr="004E6D93">
        <w:rPr>
          <w:noProof/>
          <w:lang w:val="en-NZ" w:eastAsia="en-NZ"/>
        </w:rPr>
        <w:drawing>
          <wp:inline distT="0" distB="0" distL="0" distR="0">
            <wp:extent cx="5274310" cy="3955169"/>
            <wp:effectExtent l="19050" t="0" r="254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98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4E6D93" w:rsidSect="00907C72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D51" w:rsidRDefault="00CB4D51">
      <w:r>
        <w:separator/>
      </w:r>
    </w:p>
  </w:endnote>
  <w:endnote w:type="continuationSeparator" w:id="0">
    <w:p w:rsidR="00CB4D51" w:rsidRDefault="00CB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D51" w:rsidRPr="00AA2DD7" w:rsidRDefault="008934B9" w:rsidP="00AA2DD7">
    <w:pPr>
      <w:pStyle w:val="Footer"/>
      <w:jc w:val="right"/>
      <w:rPr>
        <w:rFonts w:ascii="Arial" w:hAnsi="Arial" w:cs="Arial"/>
        <w:iCs/>
        <w:color w:val="0033CC"/>
        <w:sz w:val="20"/>
        <w:szCs w:val="20"/>
      </w:rPr>
    </w:pPr>
    <w:r w:rsidRPr="00AA2DD7">
      <w:rPr>
        <w:rFonts w:ascii="Arial" w:hAnsi="Arial" w:cs="Arial"/>
        <w:iCs/>
        <w:color w:val="0033CC"/>
        <w:sz w:val="20"/>
        <w:szCs w:val="20"/>
      </w:rPr>
      <w:fldChar w:fldCharType="begin"/>
    </w:r>
    <w:r w:rsidR="00CB4D51" w:rsidRPr="00AA2DD7">
      <w:rPr>
        <w:rFonts w:ascii="Arial" w:hAnsi="Arial" w:cs="Arial"/>
        <w:iCs/>
        <w:color w:val="0033CC"/>
        <w:sz w:val="20"/>
        <w:szCs w:val="20"/>
      </w:rPr>
      <w:instrText xml:space="preserve"> PAGE   \* MERGEFORMAT </w:instrText>
    </w:r>
    <w:r w:rsidRPr="00AA2DD7">
      <w:rPr>
        <w:rFonts w:ascii="Arial" w:hAnsi="Arial" w:cs="Arial"/>
        <w:iCs/>
        <w:color w:val="0033CC"/>
        <w:sz w:val="20"/>
        <w:szCs w:val="20"/>
      </w:rPr>
      <w:fldChar w:fldCharType="separate"/>
    </w:r>
    <w:r w:rsidR="00A21E6E">
      <w:rPr>
        <w:rFonts w:ascii="Arial" w:hAnsi="Arial" w:cs="Arial"/>
        <w:iCs/>
        <w:noProof/>
        <w:color w:val="0033CC"/>
        <w:sz w:val="20"/>
        <w:szCs w:val="20"/>
      </w:rPr>
      <w:t>2</w:t>
    </w:r>
    <w:r w:rsidRPr="00AA2DD7">
      <w:rPr>
        <w:rFonts w:ascii="Arial" w:hAnsi="Arial" w:cs="Arial"/>
        <w:iCs/>
        <w:color w:val="0033CC"/>
        <w:sz w:val="20"/>
        <w:szCs w:val="20"/>
      </w:rPr>
      <w:fldChar w:fldCharType="end"/>
    </w:r>
    <w:r w:rsidR="00CB4D51" w:rsidRPr="00AA2DD7">
      <w:rPr>
        <w:rFonts w:ascii="Arial" w:hAnsi="Arial" w:cs="Arial"/>
        <w:iCs/>
        <w:color w:val="0033CC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D51" w:rsidRDefault="00CB4D51">
      <w:r>
        <w:separator/>
      </w:r>
    </w:p>
  </w:footnote>
  <w:footnote w:type="continuationSeparator" w:id="0">
    <w:p w:rsidR="00CB4D51" w:rsidRDefault="00CB4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661A7"/>
    <w:multiLevelType w:val="hybridMultilevel"/>
    <w:tmpl w:val="216EC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6A"/>
    <w:rsid w:val="00007843"/>
    <w:rsid w:val="00020824"/>
    <w:rsid w:val="00042825"/>
    <w:rsid w:val="000454C9"/>
    <w:rsid w:val="000521DD"/>
    <w:rsid w:val="000A2549"/>
    <w:rsid w:val="000F31CA"/>
    <w:rsid w:val="000F743A"/>
    <w:rsid w:val="00101084"/>
    <w:rsid w:val="00134B29"/>
    <w:rsid w:val="001519F4"/>
    <w:rsid w:val="00184A0E"/>
    <w:rsid w:val="001C00F9"/>
    <w:rsid w:val="001C34A3"/>
    <w:rsid w:val="001F09F6"/>
    <w:rsid w:val="001F52DC"/>
    <w:rsid w:val="00205C86"/>
    <w:rsid w:val="0021023D"/>
    <w:rsid w:val="00220669"/>
    <w:rsid w:val="00223DBB"/>
    <w:rsid w:val="00226B81"/>
    <w:rsid w:val="00260829"/>
    <w:rsid w:val="00276D94"/>
    <w:rsid w:val="00277AE1"/>
    <w:rsid w:val="00281F8C"/>
    <w:rsid w:val="00287BE3"/>
    <w:rsid w:val="002D3629"/>
    <w:rsid w:val="002F110C"/>
    <w:rsid w:val="002F1D89"/>
    <w:rsid w:val="003077E7"/>
    <w:rsid w:val="00312E4F"/>
    <w:rsid w:val="00312EFD"/>
    <w:rsid w:val="00340811"/>
    <w:rsid w:val="003573BA"/>
    <w:rsid w:val="00382E72"/>
    <w:rsid w:val="00396535"/>
    <w:rsid w:val="003A12A1"/>
    <w:rsid w:val="003A1C4C"/>
    <w:rsid w:val="003A61E9"/>
    <w:rsid w:val="003B0B08"/>
    <w:rsid w:val="003E3742"/>
    <w:rsid w:val="00414F10"/>
    <w:rsid w:val="00417FAD"/>
    <w:rsid w:val="00427782"/>
    <w:rsid w:val="004367FF"/>
    <w:rsid w:val="0043697B"/>
    <w:rsid w:val="00441D99"/>
    <w:rsid w:val="00442175"/>
    <w:rsid w:val="00451AD0"/>
    <w:rsid w:val="00467A4A"/>
    <w:rsid w:val="004D7FD2"/>
    <w:rsid w:val="004E6D93"/>
    <w:rsid w:val="004F1335"/>
    <w:rsid w:val="004F4863"/>
    <w:rsid w:val="004F716A"/>
    <w:rsid w:val="00517801"/>
    <w:rsid w:val="00535320"/>
    <w:rsid w:val="005379F0"/>
    <w:rsid w:val="005430AA"/>
    <w:rsid w:val="00567E64"/>
    <w:rsid w:val="00570575"/>
    <w:rsid w:val="00576652"/>
    <w:rsid w:val="00596EC4"/>
    <w:rsid w:val="005A3DC9"/>
    <w:rsid w:val="005C4A58"/>
    <w:rsid w:val="005E0903"/>
    <w:rsid w:val="005E45B7"/>
    <w:rsid w:val="005F5104"/>
    <w:rsid w:val="00601030"/>
    <w:rsid w:val="00624C2F"/>
    <w:rsid w:val="00656438"/>
    <w:rsid w:val="00665E39"/>
    <w:rsid w:val="006667C7"/>
    <w:rsid w:val="00674755"/>
    <w:rsid w:val="0067561B"/>
    <w:rsid w:val="006C34DB"/>
    <w:rsid w:val="006D24B7"/>
    <w:rsid w:val="006D58AA"/>
    <w:rsid w:val="00705DA6"/>
    <w:rsid w:val="00706647"/>
    <w:rsid w:val="007A78DB"/>
    <w:rsid w:val="007E65D5"/>
    <w:rsid w:val="007F3BFA"/>
    <w:rsid w:val="00814857"/>
    <w:rsid w:val="00814A71"/>
    <w:rsid w:val="00856D16"/>
    <w:rsid w:val="00861564"/>
    <w:rsid w:val="00880BC6"/>
    <w:rsid w:val="008934B9"/>
    <w:rsid w:val="00896A2E"/>
    <w:rsid w:val="008C198A"/>
    <w:rsid w:val="008D33B6"/>
    <w:rsid w:val="00907C72"/>
    <w:rsid w:val="00926A79"/>
    <w:rsid w:val="00935C37"/>
    <w:rsid w:val="00937A69"/>
    <w:rsid w:val="009520E0"/>
    <w:rsid w:val="0098642A"/>
    <w:rsid w:val="009A0C6E"/>
    <w:rsid w:val="009A3672"/>
    <w:rsid w:val="009C5CB6"/>
    <w:rsid w:val="009D66A8"/>
    <w:rsid w:val="009F339D"/>
    <w:rsid w:val="00A21E6E"/>
    <w:rsid w:val="00A227D9"/>
    <w:rsid w:val="00A32637"/>
    <w:rsid w:val="00A66ABD"/>
    <w:rsid w:val="00A67B61"/>
    <w:rsid w:val="00A67B89"/>
    <w:rsid w:val="00AA2DD7"/>
    <w:rsid w:val="00AB1B87"/>
    <w:rsid w:val="00AE2DD9"/>
    <w:rsid w:val="00AE427F"/>
    <w:rsid w:val="00B05D73"/>
    <w:rsid w:val="00B149A8"/>
    <w:rsid w:val="00B34F33"/>
    <w:rsid w:val="00B53226"/>
    <w:rsid w:val="00B6575B"/>
    <w:rsid w:val="00B71290"/>
    <w:rsid w:val="00B96E4A"/>
    <w:rsid w:val="00BD0956"/>
    <w:rsid w:val="00BE5BCE"/>
    <w:rsid w:val="00C23777"/>
    <w:rsid w:val="00C249B9"/>
    <w:rsid w:val="00C36919"/>
    <w:rsid w:val="00C74EEF"/>
    <w:rsid w:val="00CB4D51"/>
    <w:rsid w:val="00CB7101"/>
    <w:rsid w:val="00CD3207"/>
    <w:rsid w:val="00CD5E76"/>
    <w:rsid w:val="00CD7CD5"/>
    <w:rsid w:val="00CE33DC"/>
    <w:rsid w:val="00CE64E2"/>
    <w:rsid w:val="00CF417D"/>
    <w:rsid w:val="00D03118"/>
    <w:rsid w:val="00D05714"/>
    <w:rsid w:val="00D30D52"/>
    <w:rsid w:val="00D33708"/>
    <w:rsid w:val="00D61816"/>
    <w:rsid w:val="00D64E23"/>
    <w:rsid w:val="00D83589"/>
    <w:rsid w:val="00DC428D"/>
    <w:rsid w:val="00DD06B4"/>
    <w:rsid w:val="00DD54F5"/>
    <w:rsid w:val="00DE0A05"/>
    <w:rsid w:val="00DE4DF4"/>
    <w:rsid w:val="00E00282"/>
    <w:rsid w:val="00E21BD3"/>
    <w:rsid w:val="00E2445B"/>
    <w:rsid w:val="00E257A8"/>
    <w:rsid w:val="00E27A32"/>
    <w:rsid w:val="00E30871"/>
    <w:rsid w:val="00E42308"/>
    <w:rsid w:val="00E52A6A"/>
    <w:rsid w:val="00E957AD"/>
    <w:rsid w:val="00E95FE5"/>
    <w:rsid w:val="00ED6A82"/>
    <w:rsid w:val="00EE3609"/>
    <w:rsid w:val="00EE594B"/>
    <w:rsid w:val="00F01226"/>
    <w:rsid w:val="00F35458"/>
    <w:rsid w:val="00F41527"/>
    <w:rsid w:val="00F52E43"/>
    <w:rsid w:val="00F664D3"/>
    <w:rsid w:val="00F7229F"/>
    <w:rsid w:val="00FD1A1B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517C84CB"/>
  <w15:docId w15:val="{D29F7EE4-D2FC-4081-BF73-36D66F4A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7C72"/>
    <w:rPr>
      <w:sz w:val="24"/>
      <w:szCs w:val="24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5E0903"/>
  </w:style>
  <w:style w:type="paragraph" w:styleId="BalloonText">
    <w:name w:val="Balloon Text"/>
    <w:basedOn w:val="Normal"/>
    <w:semiHidden/>
    <w:rsid w:val="005E09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E09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E0903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312EFD"/>
    <w:rPr>
      <w:color w:val="0000FF"/>
      <w:u w:val="single"/>
    </w:rPr>
  </w:style>
  <w:style w:type="character" w:customStyle="1" w:styleId="EmailStyle201">
    <w:name w:val="EmailStyle201"/>
    <w:basedOn w:val="DefaultParagraphFont"/>
    <w:semiHidden/>
    <w:rsid w:val="00312EFD"/>
    <w:rPr>
      <w:rFonts w:ascii="Arial" w:hAnsi="Arial" w:cs="Arial"/>
      <w:color w:val="auto"/>
      <w:sz w:val="20"/>
      <w:szCs w:val="20"/>
    </w:rPr>
  </w:style>
  <w:style w:type="paragraph" w:styleId="E-mailSignature">
    <w:name w:val="E-mail Signature"/>
    <w:basedOn w:val="Normal"/>
    <w:rsid w:val="00312EFD"/>
    <w:rPr>
      <w:rFonts w:eastAsia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A2DD7"/>
    <w:rPr>
      <w:sz w:val="24"/>
      <w:szCs w:val="24"/>
      <w:lang w:val="en-AU" w:eastAsia="zh-CN"/>
    </w:rPr>
  </w:style>
  <w:style w:type="paragraph" w:customStyle="1" w:styleId="Hdg3para">
    <w:name w:val="Hdg3 para"/>
    <w:basedOn w:val="Normal"/>
    <w:link w:val="Hdg3paraChar"/>
    <w:autoRedefine/>
    <w:qFormat/>
    <w:rsid w:val="00880BC6"/>
    <w:pPr>
      <w:keepNext/>
      <w:ind w:left="709"/>
    </w:pPr>
    <w:rPr>
      <w:rFonts w:eastAsia="Times New Roman"/>
      <w:lang w:val="en-NZ" w:eastAsia="zh-TW" w:bidi="en-US"/>
    </w:rPr>
  </w:style>
  <w:style w:type="character" w:customStyle="1" w:styleId="Hdg3paraChar">
    <w:name w:val="Hdg3 para Char"/>
    <w:basedOn w:val="DefaultParagraphFont"/>
    <w:link w:val="Hdg3para"/>
    <w:rsid w:val="00880BC6"/>
    <w:rPr>
      <w:rFonts w:eastAsia="Times New Roman"/>
      <w:sz w:val="24"/>
      <w:szCs w:val="24"/>
      <w:lang w:val="en-NZ" w:eastAsia="zh-TW" w:bidi="en-US"/>
    </w:rPr>
  </w:style>
  <w:style w:type="paragraph" w:customStyle="1" w:styleId="Hdg2para">
    <w:name w:val="Hdg2 para"/>
    <w:basedOn w:val="Normal"/>
    <w:link w:val="Hdg2paraChar"/>
    <w:autoRedefine/>
    <w:qFormat/>
    <w:rsid w:val="00880BC6"/>
    <w:pPr>
      <w:keepNext/>
      <w:tabs>
        <w:tab w:val="left" w:pos="709"/>
      </w:tabs>
      <w:ind w:left="709"/>
    </w:pPr>
    <w:rPr>
      <w:rFonts w:eastAsia="Times New Roman"/>
      <w:lang w:val="en-NZ" w:eastAsia="en-US" w:bidi="en-US"/>
    </w:rPr>
  </w:style>
  <w:style w:type="character" w:customStyle="1" w:styleId="Hdg2paraChar">
    <w:name w:val="Hdg2 para Char"/>
    <w:basedOn w:val="DefaultParagraphFont"/>
    <w:link w:val="Hdg2para"/>
    <w:rsid w:val="00880BC6"/>
    <w:rPr>
      <w:rFonts w:eastAsia="Times New Roman"/>
      <w:sz w:val="24"/>
      <w:szCs w:val="24"/>
      <w:lang w:val="en-NZ" w:bidi="en-US"/>
    </w:rPr>
  </w:style>
  <w:style w:type="character" w:customStyle="1" w:styleId="highlight1">
    <w:name w:val="highlight1"/>
    <w:basedOn w:val="DefaultParagraphFont"/>
    <w:rsid w:val="00E00282"/>
    <w:rPr>
      <w:b/>
      <w:bCs/>
      <w:sz w:val="24"/>
      <w:szCs w:val="24"/>
      <w:bdr w:val="none" w:sz="0" w:space="0" w:color="auto" w:frame="1"/>
      <w:shd w:val="clear" w:color="auto" w:fill="FFFFCC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34D3-E6AE-4B89-B5C0-2E74B626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Links>
    <vt:vector size="12" baseType="variant">
      <vt:variant>
        <vt:i4>7536760</vt:i4>
      </vt:variant>
      <vt:variant>
        <vt:i4>0</vt:i4>
      </vt:variant>
      <vt:variant>
        <vt:i4>0</vt:i4>
      </vt:variant>
      <vt:variant>
        <vt:i4>5</vt:i4>
      </vt:variant>
      <vt:variant>
        <vt:lpwstr>http://www.envirocom.co.nz/</vt:lpwstr>
      </vt:variant>
      <vt:variant>
        <vt:lpwstr/>
      </vt:variant>
      <vt:variant>
        <vt:i4>4391030</vt:i4>
      </vt:variant>
      <vt:variant>
        <vt:i4>0</vt:i4>
      </vt:variant>
      <vt:variant>
        <vt:i4>0</vt:i4>
      </vt:variant>
      <vt:variant>
        <vt:i4>5</vt:i4>
      </vt:variant>
      <vt:variant>
        <vt:lpwstr>mailto:Rex.Alexander@envirocom.co.nz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 Quin</dc:creator>
  <cp:lastModifiedBy>Rex Alexander</cp:lastModifiedBy>
  <cp:revision>2</cp:revision>
  <cp:lastPrinted>2013-06-28T03:53:00Z</cp:lastPrinted>
  <dcterms:created xsi:type="dcterms:W3CDTF">2018-08-07T23:53:00Z</dcterms:created>
  <dcterms:modified xsi:type="dcterms:W3CDTF">2018-08-07T23:53:00Z</dcterms:modified>
</cp:coreProperties>
</file>